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60AEA" w14:textId="378F84A1" w:rsidR="0083796C" w:rsidRDefault="000D09EA" w:rsidP="000D09EA">
      <w:pPr>
        <w:jc w:val="left"/>
      </w:pPr>
      <w:r>
        <w:rPr>
          <w:noProof/>
        </w:rPr>
        <w:drawing>
          <wp:inline distT="0" distB="0" distL="0" distR="0" wp14:anchorId="311D53E7" wp14:editId="6F66030A">
            <wp:extent cx="1453953" cy="444108"/>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3586" cy="459268"/>
                    </a:xfrm>
                    <a:prstGeom prst="rect">
                      <a:avLst/>
                    </a:prstGeom>
                  </pic:spPr>
                </pic:pic>
              </a:graphicData>
            </a:graphic>
          </wp:inline>
        </w:drawing>
      </w:r>
    </w:p>
    <w:p w14:paraId="17DFE0D8" w14:textId="02C17578" w:rsidR="000D09EA" w:rsidRDefault="000D09EA" w:rsidP="000D09EA">
      <w:pPr>
        <w:jc w:val="left"/>
      </w:pPr>
    </w:p>
    <w:p w14:paraId="52C43C82" w14:textId="0966BAC3" w:rsidR="000D09EA" w:rsidRDefault="000D09EA" w:rsidP="000D09EA">
      <w:pPr>
        <w:jc w:val="left"/>
        <w:rPr>
          <w:sz w:val="20"/>
          <w:szCs w:val="20"/>
        </w:rPr>
      </w:pPr>
      <w:r w:rsidRPr="00252259">
        <w:rPr>
          <w:b/>
          <w:bCs/>
          <w:sz w:val="20"/>
          <w:szCs w:val="20"/>
        </w:rPr>
        <w:t xml:space="preserve">Campaign: </w:t>
      </w:r>
      <w:r w:rsidRPr="00252259">
        <w:rPr>
          <w:sz w:val="20"/>
          <w:szCs w:val="20"/>
        </w:rPr>
        <w:t>Public Service</w:t>
      </w:r>
    </w:p>
    <w:p w14:paraId="45177C38" w14:textId="3471232D" w:rsidR="00BB32FE" w:rsidRDefault="00BB32FE" w:rsidP="000D09EA">
      <w:pPr>
        <w:jc w:val="left"/>
        <w:rPr>
          <w:sz w:val="20"/>
          <w:szCs w:val="20"/>
        </w:rPr>
      </w:pPr>
      <w:r>
        <w:rPr>
          <w:sz w:val="20"/>
          <w:szCs w:val="20"/>
        </w:rPr>
        <w:t>Weed Facts</w:t>
      </w:r>
    </w:p>
    <w:p w14:paraId="735F3F99" w14:textId="58185A18" w:rsidR="00BB32FE" w:rsidRDefault="00BB32FE" w:rsidP="000D09EA">
      <w:pPr>
        <w:jc w:val="left"/>
        <w:rPr>
          <w:sz w:val="20"/>
          <w:szCs w:val="20"/>
        </w:rPr>
      </w:pPr>
      <w:r>
        <w:rPr>
          <w:sz w:val="20"/>
          <w:szCs w:val="20"/>
        </w:rPr>
        <w:t>Ingham County and Barry-Eaton County health departments</w:t>
      </w:r>
    </w:p>
    <w:p w14:paraId="394522FC" w14:textId="2445AE79" w:rsidR="00BB32FE" w:rsidRDefault="00FB67B2" w:rsidP="000D09EA">
      <w:pPr>
        <w:jc w:val="left"/>
        <w:rPr>
          <w:sz w:val="20"/>
          <w:szCs w:val="20"/>
        </w:rPr>
      </w:pPr>
      <w:hyperlink r:id="rId6" w:history="1">
        <w:r w:rsidR="00694B2B" w:rsidRPr="0093581C">
          <w:rPr>
            <w:rStyle w:val="Hyperlink"/>
            <w:sz w:val="20"/>
            <w:szCs w:val="20"/>
          </w:rPr>
          <w:t>www.knowtheweedfacts.com</w:t>
        </w:r>
      </w:hyperlink>
    </w:p>
    <w:p w14:paraId="7CD4EFEC" w14:textId="10051EF5" w:rsidR="000D09EA" w:rsidRPr="00252259" w:rsidRDefault="000D09EA" w:rsidP="000D09EA">
      <w:pPr>
        <w:jc w:val="left"/>
        <w:rPr>
          <w:sz w:val="20"/>
          <w:szCs w:val="20"/>
        </w:rPr>
      </w:pPr>
    </w:p>
    <w:p w14:paraId="05727A6F" w14:textId="20431E9E" w:rsidR="001D5056" w:rsidRPr="00252259" w:rsidRDefault="000D09EA" w:rsidP="00220F2A">
      <w:pPr>
        <w:jc w:val="left"/>
        <w:rPr>
          <w:sz w:val="20"/>
          <w:szCs w:val="20"/>
        </w:rPr>
      </w:pPr>
      <w:r w:rsidRPr="00252259">
        <w:rPr>
          <w:sz w:val="20"/>
          <w:szCs w:val="20"/>
        </w:rPr>
        <w:t xml:space="preserve">With the </w:t>
      </w:r>
      <w:r w:rsidR="00220F2A" w:rsidRPr="00252259">
        <w:rPr>
          <w:sz w:val="20"/>
          <w:szCs w:val="20"/>
        </w:rPr>
        <w:t>proliferation</w:t>
      </w:r>
      <w:r w:rsidRPr="00252259">
        <w:rPr>
          <w:sz w:val="20"/>
          <w:szCs w:val="20"/>
        </w:rPr>
        <w:t xml:space="preserve"> of medical marijuana use and </w:t>
      </w:r>
      <w:r w:rsidR="001D5056" w:rsidRPr="00252259">
        <w:rPr>
          <w:sz w:val="20"/>
          <w:szCs w:val="20"/>
        </w:rPr>
        <w:t>legalization</w:t>
      </w:r>
      <w:r w:rsidRPr="00252259">
        <w:rPr>
          <w:sz w:val="20"/>
          <w:szCs w:val="20"/>
        </w:rPr>
        <w:t xml:space="preserve"> of recreational marijuana, health departments throughout Michigan were challenged with educating residents on safe and responsible use. Through competitive bid, both the Ingham County and Barry-Eaton County health departments selected Edge Partnerships to create an </w:t>
      </w:r>
      <w:r w:rsidR="00220F2A" w:rsidRPr="00252259">
        <w:rPr>
          <w:sz w:val="20"/>
          <w:szCs w:val="20"/>
        </w:rPr>
        <w:t>impactful</w:t>
      </w:r>
      <w:r w:rsidRPr="00252259">
        <w:rPr>
          <w:sz w:val="20"/>
          <w:szCs w:val="20"/>
        </w:rPr>
        <w:t xml:space="preserve"> public education </w:t>
      </w:r>
      <w:r w:rsidR="00220F2A" w:rsidRPr="00252259">
        <w:rPr>
          <w:sz w:val="20"/>
          <w:szCs w:val="20"/>
        </w:rPr>
        <w:t xml:space="preserve">campaign </w:t>
      </w:r>
      <w:r w:rsidR="001D5056" w:rsidRPr="00252259">
        <w:rPr>
          <w:sz w:val="20"/>
          <w:szCs w:val="20"/>
        </w:rPr>
        <w:t>that accomplished the following objectives:</w:t>
      </w:r>
    </w:p>
    <w:p w14:paraId="7CBACB5A" w14:textId="023ECA4B" w:rsidR="001D5056" w:rsidRPr="00252259" w:rsidRDefault="001D5056" w:rsidP="001D5056">
      <w:pPr>
        <w:pStyle w:val="ListParagraph"/>
        <w:numPr>
          <w:ilvl w:val="0"/>
          <w:numId w:val="1"/>
        </w:numPr>
        <w:jc w:val="left"/>
        <w:rPr>
          <w:sz w:val="20"/>
          <w:szCs w:val="20"/>
        </w:rPr>
      </w:pPr>
      <w:r w:rsidRPr="00252259">
        <w:rPr>
          <w:sz w:val="20"/>
          <w:szCs w:val="20"/>
        </w:rPr>
        <w:t>Educate medical marijuana patients and others about safe storage</w:t>
      </w:r>
    </w:p>
    <w:p w14:paraId="3DE3454F" w14:textId="6447E3D8" w:rsidR="001D5056" w:rsidRPr="00252259" w:rsidRDefault="001D5056" w:rsidP="001D5056">
      <w:pPr>
        <w:pStyle w:val="ListParagraph"/>
        <w:numPr>
          <w:ilvl w:val="0"/>
          <w:numId w:val="1"/>
        </w:numPr>
        <w:jc w:val="left"/>
        <w:rPr>
          <w:sz w:val="20"/>
          <w:szCs w:val="20"/>
        </w:rPr>
      </w:pPr>
      <w:r w:rsidRPr="00252259">
        <w:rPr>
          <w:sz w:val="20"/>
          <w:szCs w:val="20"/>
        </w:rPr>
        <w:t>Educat</w:t>
      </w:r>
      <w:r w:rsidR="00694B2B">
        <w:rPr>
          <w:sz w:val="20"/>
          <w:szCs w:val="20"/>
        </w:rPr>
        <w:t>e</w:t>
      </w:r>
      <w:r w:rsidRPr="00252259">
        <w:rPr>
          <w:sz w:val="20"/>
          <w:szCs w:val="20"/>
        </w:rPr>
        <w:t xml:space="preserve"> medi</w:t>
      </w:r>
      <w:r w:rsidR="00885BA2">
        <w:rPr>
          <w:sz w:val="20"/>
          <w:szCs w:val="20"/>
        </w:rPr>
        <w:t>c</w:t>
      </w:r>
      <w:r w:rsidRPr="00252259">
        <w:rPr>
          <w:sz w:val="20"/>
          <w:szCs w:val="20"/>
        </w:rPr>
        <w:t>al marijuana pat</w:t>
      </w:r>
      <w:r w:rsidR="00694B2B">
        <w:rPr>
          <w:sz w:val="20"/>
          <w:szCs w:val="20"/>
        </w:rPr>
        <w:t>i</w:t>
      </w:r>
      <w:r w:rsidRPr="00252259">
        <w:rPr>
          <w:sz w:val="20"/>
          <w:szCs w:val="20"/>
        </w:rPr>
        <w:t>ents and others about the dangers of driving while under the influence of marijuana</w:t>
      </w:r>
    </w:p>
    <w:p w14:paraId="11176BF1" w14:textId="1E53911D" w:rsidR="001D5056" w:rsidRPr="00252259" w:rsidRDefault="001D5056" w:rsidP="001D5056">
      <w:pPr>
        <w:pStyle w:val="ListParagraph"/>
        <w:numPr>
          <w:ilvl w:val="0"/>
          <w:numId w:val="1"/>
        </w:numPr>
        <w:jc w:val="left"/>
        <w:rPr>
          <w:sz w:val="20"/>
          <w:szCs w:val="20"/>
        </w:rPr>
      </w:pPr>
      <w:r w:rsidRPr="00252259">
        <w:rPr>
          <w:sz w:val="20"/>
          <w:szCs w:val="20"/>
        </w:rPr>
        <w:t>Increase perception of risk for adolescent marijuana use</w:t>
      </w:r>
    </w:p>
    <w:p w14:paraId="4C73BE0A" w14:textId="1459A5B1" w:rsidR="001D5056" w:rsidRPr="00252259" w:rsidRDefault="001D5056" w:rsidP="001D5056">
      <w:pPr>
        <w:jc w:val="left"/>
        <w:rPr>
          <w:sz w:val="20"/>
          <w:szCs w:val="20"/>
        </w:rPr>
      </w:pPr>
      <w:r w:rsidRPr="00252259">
        <w:rPr>
          <w:sz w:val="20"/>
          <w:szCs w:val="20"/>
        </w:rPr>
        <w:t xml:space="preserve">The grant-funded campaign had to be researched, created and implemented within an aggressive </w:t>
      </w:r>
      <w:r w:rsidR="00D305EE">
        <w:rPr>
          <w:sz w:val="20"/>
          <w:szCs w:val="20"/>
        </w:rPr>
        <w:t>six</w:t>
      </w:r>
      <w:r w:rsidRPr="00252259">
        <w:rPr>
          <w:sz w:val="20"/>
          <w:szCs w:val="20"/>
        </w:rPr>
        <w:t>-</w:t>
      </w:r>
      <w:r w:rsidR="00D305EE">
        <w:rPr>
          <w:sz w:val="20"/>
          <w:szCs w:val="20"/>
        </w:rPr>
        <w:t>week</w:t>
      </w:r>
      <w:r w:rsidRPr="00252259">
        <w:rPr>
          <w:sz w:val="20"/>
          <w:szCs w:val="20"/>
        </w:rPr>
        <w:t xml:space="preserve"> window between Aug. 1 and Sept. </w:t>
      </w:r>
      <w:r w:rsidR="002A7A7A">
        <w:rPr>
          <w:sz w:val="20"/>
          <w:szCs w:val="20"/>
        </w:rPr>
        <w:t>15</w:t>
      </w:r>
      <w:r w:rsidRPr="00252259">
        <w:rPr>
          <w:sz w:val="20"/>
          <w:szCs w:val="20"/>
        </w:rPr>
        <w:t>, 2019.</w:t>
      </w:r>
    </w:p>
    <w:p w14:paraId="1496EABF" w14:textId="7CB85503" w:rsidR="001D5056" w:rsidRPr="00252259" w:rsidRDefault="001D5056" w:rsidP="001D5056">
      <w:pPr>
        <w:jc w:val="left"/>
        <w:rPr>
          <w:sz w:val="20"/>
          <w:szCs w:val="20"/>
        </w:rPr>
      </w:pPr>
    </w:p>
    <w:p w14:paraId="46A23F33" w14:textId="19EE39B4" w:rsidR="001D5056" w:rsidRPr="00557896" w:rsidRDefault="001D5056" w:rsidP="001D5056">
      <w:pPr>
        <w:jc w:val="left"/>
        <w:rPr>
          <w:b/>
          <w:bCs/>
          <w:sz w:val="20"/>
          <w:szCs w:val="20"/>
          <w:u w:val="single"/>
        </w:rPr>
      </w:pPr>
      <w:r w:rsidRPr="00557896">
        <w:rPr>
          <w:b/>
          <w:bCs/>
          <w:sz w:val="20"/>
          <w:szCs w:val="20"/>
          <w:u w:val="single"/>
        </w:rPr>
        <w:t>Research</w:t>
      </w:r>
    </w:p>
    <w:p w14:paraId="61681553" w14:textId="595EF626" w:rsidR="00887605" w:rsidRPr="00252259" w:rsidRDefault="001D5056" w:rsidP="001D5056">
      <w:pPr>
        <w:jc w:val="left"/>
        <w:rPr>
          <w:sz w:val="20"/>
          <w:szCs w:val="20"/>
        </w:rPr>
      </w:pPr>
      <w:r w:rsidRPr="00252259">
        <w:rPr>
          <w:sz w:val="20"/>
          <w:szCs w:val="20"/>
        </w:rPr>
        <w:t>While Edge understood the common perceptions – and misconceptions – related to both medical and recreational mari</w:t>
      </w:r>
      <w:r w:rsidR="00970BEF" w:rsidRPr="00252259">
        <w:rPr>
          <w:sz w:val="20"/>
          <w:szCs w:val="20"/>
        </w:rPr>
        <w:t>juana consumption, it was essential that we heard directly from area residents. More than 75 tri-county residents participated in three focus groups where they shared their thoughts on both medical and recreational marijuana use.</w:t>
      </w:r>
    </w:p>
    <w:p w14:paraId="01CB8479" w14:textId="77777777" w:rsidR="00970BEF" w:rsidRPr="00252259" w:rsidRDefault="00970BEF" w:rsidP="001D5056">
      <w:pPr>
        <w:jc w:val="left"/>
        <w:rPr>
          <w:sz w:val="20"/>
          <w:szCs w:val="20"/>
        </w:rPr>
      </w:pPr>
    </w:p>
    <w:p w14:paraId="7766A80B" w14:textId="6A903D63" w:rsidR="00887605" w:rsidRPr="00252259" w:rsidRDefault="00970BEF" w:rsidP="001D5056">
      <w:pPr>
        <w:jc w:val="left"/>
        <w:rPr>
          <w:sz w:val="20"/>
          <w:szCs w:val="20"/>
        </w:rPr>
      </w:pPr>
      <w:r w:rsidRPr="00252259">
        <w:rPr>
          <w:sz w:val="20"/>
          <w:szCs w:val="20"/>
        </w:rPr>
        <w:t>Focus group participants represented a broad demographic and socioeconomic range. The moderated groups discussed an array of issues and provided important feedback on</w:t>
      </w:r>
      <w:r w:rsidR="00694B2B">
        <w:rPr>
          <w:sz w:val="20"/>
          <w:szCs w:val="20"/>
        </w:rPr>
        <w:t xml:space="preserve"> campaign</w:t>
      </w:r>
      <w:r w:rsidRPr="00252259">
        <w:rPr>
          <w:sz w:val="20"/>
          <w:szCs w:val="20"/>
        </w:rPr>
        <w:t xml:space="preserve"> images and messages. The qualitative information gathered from the focus groups</w:t>
      </w:r>
      <w:r w:rsidR="00887605" w:rsidRPr="00252259">
        <w:rPr>
          <w:sz w:val="20"/>
          <w:szCs w:val="20"/>
        </w:rPr>
        <w:t>, along with county-specific data from the health departments,</w:t>
      </w:r>
      <w:r w:rsidRPr="00252259">
        <w:rPr>
          <w:sz w:val="20"/>
          <w:szCs w:val="20"/>
        </w:rPr>
        <w:t xml:space="preserve"> provided the foundation for the creative development and implementation of the public education campaign.</w:t>
      </w:r>
      <w:r w:rsidR="00887605" w:rsidRPr="00252259">
        <w:rPr>
          <w:sz w:val="20"/>
          <w:szCs w:val="20"/>
        </w:rPr>
        <w:t xml:space="preserve"> </w:t>
      </w:r>
    </w:p>
    <w:p w14:paraId="7DFA5FC8" w14:textId="77777777" w:rsidR="00887605" w:rsidRPr="00252259" w:rsidRDefault="00887605" w:rsidP="001D5056">
      <w:pPr>
        <w:jc w:val="left"/>
        <w:rPr>
          <w:sz w:val="20"/>
          <w:szCs w:val="20"/>
        </w:rPr>
      </w:pPr>
    </w:p>
    <w:p w14:paraId="63287738" w14:textId="7969EB58" w:rsidR="001D5056" w:rsidRPr="00252259" w:rsidRDefault="00887605" w:rsidP="001D5056">
      <w:pPr>
        <w:jc w:val="left"/>
        <w:rPr>
          <w:sz w:val="20"/>
          <w:szCs w:val="20"/>
        </w:rPr>
      </w:pPr>
      <w:r w:rsidRPr="00252259">
        <w:rPr>
          <w:sz w:val="20"/>
          <w:szCs w:val="20"/>
        </w:rPr>
        <w:t>With this important research in hand, Edge was able to develop the most relevant and impactful content and graphics as well as deliver them on media that would reach the intended recipients.</w:t>
      </w:r>
    </w:p>
    <w:p w14:paraId="5CAAFE5A" w14:textId="26EC9E8F" w:rsidR="00970BEF" w:rsidRPr="00252259" w:rsidRDefault="00970BEF" w:rsidP="001D5056">
      <w:pPr>
        <w:jc w:val="left"/>
        <w:rPr>
          <w:sz w:val="20"/>
          <w:szCs w:val="20"/>
        </w:rPr>
      </w:pPr>
    </w:p>
    <w:p w14:paraId="5E8BA1F3" w14:textId="5474B653" w:rsidR="00970BEF" w:rsidRPr="00252259" w:rsidRDefault="00970BEF" w:rsidP="001D5056">
      <w:pPr>
        <w:jc w:val="left"/>
        <w:rPr>
          <w:i/>
          <w:iCs/>
          <w:sz w:val="20"/>
          <w:szCs w:val="20"/>
        </w:rPr>
      </w:pPr>
      <w:r w:rsidRPr="00252259">
        <w:rPr>
          <w:i/>
          <w:iCs/>
          <w:sz w:val="20"/>
          <w:szCs w:val="20"/>
        </w:rPr>
        <w:t>See focus group results in Supporting Materials</w:t>
      </w:r>
    </w:p>
    <w:p w14:paraId="1C837495" w14:textId="6F76831B" w:rsidR="00887605" w:rsidRPr="00252259" w:rsidRDefault="00887605" w:rsidP="001D5056">
      <w:pPr>
        <w:jc w:val="left"/>
        <w:rPr>
          <w:i/>
          <w:iCs/>
          <w:sz w:val="20"/>
          <w:szCs w:val="20"/>
        </w:rPr>
      </w:pPr>
    </w:p>
    <w:p w14:paraId="309091A1" w14:textId="157A8FA1" w:rsidR="00887605" w:rsidRPr="00557896" w:rsidRDefault="00887605" w:rsidP="001D5056">
      <w:pPr>
        <w:jc w:val="left"/>
        <w:rPr>
          <w:b/>
          <w:bCs/>
          <w:sz w:val="20"/>
          <w:szCs w:val="20"/>
          <w:u w:val="single"/>
        </w:rPr>
      </w:pPr>
      <w:r w:rsidRPr="00557896">
        <w:rPr>
          <w:b/>
          <w:bCs/>
          <w:sz w:val="20"/>
          <w:szCs w:val="20"/>
          <w:u w:val="single"/>
        </w:rPr>
        <w:t>Planning</w:t>
      </w:r>
    </w:p>
    <w:p w14:paraId="19E4C325" w14:textId="71F2A500" w:rsidR="00887605" w:rsidRPr="00252259" w:rsidRDefault="00887605" w:rsidP="001D5056">
      <w:pPr>
        <w:jc w:val="left"/>
        <w:rPr>
          <w:sz w:val="20"/>
          <w:szCs w:val="20"/>
        </w:rPr>
      </w:pPr>
      <w:r w:rsidRPr="00252259">
        <w:rPr>
          <w:sz w:val="20"/>
          <w:szCs w:val="20"/>
        </w:rPr>
        <w:t xml:space="preserve">With a very short timeframe of </w:t>
      </w:r>
      <w:r w:rsidR="00161C26">
        <w:rPr>
          <w:sz w:val="20"/>
          <w:szCs w:val="20"/>
        </w:rPr>
        <w:t>eight</w:t>
      </w:r>
      <w:r w:rsidR="00694B2B">
        <w:rPr>
          <w:sz w:val="20"/>
          <w:szCs w:val="20"/>
        </w:rPr>
        <w:t xml:space="preserve"> weeks</w:t>
      </w:r>
      <w:r w:rsidRPr="00252259">
        <w:rPr>
          <w:sz w:val="20"/>
          <w:szCs w:val="20"/>
        </w:rPr>
        <w:t xml:space="preserve"> from bid award to full campaign implementation, Edge greatly condensed its typical workplan. Health department representatives met regularly with Edge staff representing marketing, public relations, </w:t>
      </w:r>
      <w:r w:rsidR="00252259">
        <w:rPr>
          <w:sz w:val="20"/>
          <w:szCs w:val="20"/>
        </w:rPr>
        <w:t xml:space="preserve">social media, </w:t>
      </w:r>
      <w:r w:rsidRPr="00252259">
        <w:rPr>
          <w:sz w:val="20"/>
          <w:szCs w:val="20"/>
        </w:rPr>
        <w:t>advertising and design.</w:t>
      </w:r>
    </w:p>
    <w:p w14:paraId="7E92D078" w14:textId="6154795D" w:rsidR="00887605" w:rsidRPr="00252259" w:rsidRDefault="00887605" w:rsidP="001D5056">
      <w:pPr>
        <w:jc w:val="left"/>
        <w:rPr>
          <w:sz w:val="20"/>
          <w:szCs w:val="20"/>
        </w:rPr>
      </w:pPr>
    </w:p>
    <w:p w14:paraId="00C0C2AD" w14:textId="2F385247" w:rsidR="00887605" w:rsidRPr="00252259" w:rsidRDefault="00887605" w:rsidP="001D5056">
      <w:pPr>
        <w:jc w:val="left"/>
        <w:rPr>
          <w:sz w:val="20"/>
          <w:szCs w:val="20"/>
        </w:rPr>
      </w:pPr>
      <w:r w:rsidRPr="00252259">
        <w:rPr>
          <w:sz w:val="20"/>
          <w:szCs w:val="20"/>
        </w:rPr>
        <w:t xml:space="preserve">While all tri-county residents were targeted for the education campaign, Edge used a mix of traditional and digital media as well as earned media to reach as many residents as possible with a limited budget. Special focus was also placed on </w:t>
      </w:r>
      <w:r w:rsidR="00694B2B">
        <w:rPr>
          <w:sz w:val="20"/>
          <w:szCs w:val="20"/>
        </w:rPr>
        <w:t xml:space="preserve">reaching </w:t>
      </w:r>
      <w:r w:rsidRPr="00252259">
        <w:rPr>
          <w:sz w:val="20"/>
          <w:szCs w:val="20"/>
        </w:rPr>
        <w:t>ad</w:t>
      </w:r>
      <w:r w:rsidR="00252259" w:rsidRPr="00252259">
        <w:rPr>
          <w:sz w:val="20"/>
          <w:szCs w:val="20"/>
        </w:rPr>
        <w:t>olescent teens to achieve the goal of alert</w:t>
      </w:r>
      <w:r w:rsidR="00694B2B">
        <w:rPr>
          <w:sz w:val="20"/>
          <w:szCs w:val="20"/>
        </w:rPr>
        <w:t>ing</w:t>
      </w:r>
      <w:r w:rsidR="00252259" w:rsidRPr="00252259">
        <w:rPr>
          <w:sz w:val="20"/>
          <w:szCs w:val="20"/>
        </w:rPr>
        <w:t xml:space="preserve"> this demographic to the adverse risks of marijuana use. </w:t>
      </w:r>
    </w:p>
    <w:p w14:paraId="1F1C4DCC" w14:textId="1BE14B1A" w:rsidR="00252259" w:rsidRPr="00252259" w:rsidRDefault="00252259" w:rsidP="001D5056">
      <w:pPr>
        <w:jc w:val="left"/>
        <w:rPr>
          <w:sz w:val="20"/>
          <w:szCs w:val="20"/>
        </w:rPr>
      </w:pPr>
    </w:p>
    <w:p w14:paraId="2D0ADC91" w14:textId="5B0D5F65" w:rsidR="00252259" w:rsidRPr="00252259" w:rsidRDefault="00252259" w:rsidP="001D5056">
      <w:pPr>
        <w:jc w:val="left"/>
        <w:rPr>
          <w:sz w:val="20"/>
          <w:szCs w:val="20"/>
        </w:rPr>
      </w:pPr>
      <w:r w:rsidRPr="00252259">
        <w:rPr>
          <w:sz w:val="20"/>
          <w:szCs w:val="20"/>
        </w:rPr>
        <w:t xml:space="preserve">Edge faced a unique challenge with using broadcast (television and radio) advertising due to FCC rules. While marijuana was legalized in Michigan, it </w:t>
      </w:r>
      <w:r w:rsidR="00161C26">
        <w:rPr>
          <w:sz w:val="20"/>
          <w:szCs w:val="20"/>
        </w:rPr>
        <w:t>wa</w:t>
      </w:r>
      <w:r w:rsidRPr="00252259">
        <w:rPr>
          <w:sz w:val="20"/>
          <w:szCs w:val="20"/>
        </w:rPr>
        <w:t>s still considered an illegal controlled substance by the federal government. Thus, dollars budgeted for broadcast were reallocated to other media platforms that did not fall under FCC regulations.</w:t>
      </w:r>
    </w:p>
    <w:p w14:paraId="5EF68660" w14:textId="328DF8F4" w:rsidR="00252259" w:rsidRPr="00252259" w:rsidRDefault="00252259" w:rsidP="001D5056">
      <w:pPr>
        <w:jc w:val="left"/>
        <w:rPr>
          <w:sz w:val="20"/>
          <w:szCs w:val="20"/>
        </w:rPr>
      </w:pPr>
    </w:p>
    <w:p w14:paraId="0104E64E" w14:textId="6E0AEE70" w:rsidR="00252259" w:rsidRDefault="00252259" w:rsidP="001D5056">
      <w:pPr>
        <w:jc w:val="left"/>
        <w:rPr>
          <w:sz w:val="20"/>
          <w:szCs w:val="20"/>
        </w:rPr>
      </w:pPr>
      <w:r w:rsidRPr="00252259">
        <w:rPr>
          <w:sz w:val="20"/>
          <w:szCs w:val="20"/>
        </w:rPr>
        <w:t>Specifically, Edge allocated the $35,000 advertising budget as follows:</w:t>
      </w:r>
    </w:p>
    <w:p w14:paraId="346A3081" w14:textId="77777777" w:rsidR="00FB67B2" w:rsidRPr="00252259" w:rsidRDefault="00FB67B2" w:rsidP="001D5056">
      <w:pPr>
        <w:jc w:val="left"/>
        <w:rPr>
          <w:sz w:val="20"/>
          <w:szCs w:val="20"/>
        </w:rPr>
      </w:pPr>
    </w:p>
    <w:p w14:paraId="6674F79A" w14:textId="34E545E8" w:rsidR="00252259" w:rsidRPr="00887605" w:rsidRDefault="00252259" w:rsidP="001D5056">
      <w:pPr>
        <w:jc w:val="left"/>
      </w:pPr>
      <w:r>
        <w:object w:dxaOrig="11802" w:dyaOrig="2826" w14:anchorId="3E5B5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106.45pt" o:ole="">
            <v:imagedata r:id="rId7" o:title=""/>
          </v:shape>
          <o:OLEObject Type="Embed" ProgID="Excel.Sheet.12" ShapeID="_x0000_i1025" DrawAspect="Content" ObjectID="_1643198914" r:id="rId8"/>
        </w:object>
      </w:r>
    </w:p>
    <w:p w14:paraId="5CCE8E1D" w14:textId="77777777" w:rsidR="00161C26" w:rsidRDefault="00161C26" w:rsidP="001D5056">
      <w:pPr>
        <w:jc w:val="left"/>
        <w:rPr>
          <w:b/>
          <w:bCs/>
        </w:rPr>
      </w:pPr>
    </w:p>
    <w:p w14:paraId="277F36F0" w14:textId="2B1196AF" w:rsidR="00887605" w:rsidRPr="00161C26" w:rsidRDefault="003E1B9B" w:rsidP="001D5056">
      <w:pPr>
        <w:jc w:val="left"/>
        <w:rPr>
          <w:b/>
          <w:bCs/>
          <w:sz w:val="20"/>
          <w:szCs w:val="20"/>
        </w:rPr>
      </w:pPr>
      <w:r w:rsidRPr="00161C26">
        <w:rPr>
          <w:b/>
          <w:bCs/>
          <w:sz w:val="20"/>
          <w:szCs w:val="20"/>
        </w:rPr>
        <w:t>Execution</w:t>
      </w:r>
    </w:p>
    <w:p w14:paraId="033FC86E" w14:textId="33D04FEC" w:rsidR="003E1B9B" w:rsidRPr="00161C26" w:rsidRDefault="003E1B9B" w:rsidP="001D5056">
      <w:pPr>
        <w:jc w:val="left"/>
        <w:rPr>
          <w:sz w:val="20"/>
          <w:szCs w:val="20"/>
        </w:rPr>
      </w:pPr>
      <w:r w:rsidRPr="00161C26">
        <w:rPr>
          <w:sz w:val="20"/>
          <w:szCs w:val="20"/>
        </w:rPr>
        <w:t xml:space="preserve">With two weeks to research, plan, develop and implement, Edge had to carefully orchestrate each </w:t>
      </w:r>
      <w:r w:rsidR="00A767B6" w:rsidRPr="00161C26">
        <w:rPr>
          <w:sz w:val="20"/>
          <w:szCs w:val="20"/>
        </w:rPr>
        <w:t xml:space="preserve">campaign </w:t>
      </w:r>
      <w:r w:rsidRPr="00161C26">
        <w:rPr>
          <w:sz w:val="20"/>
          <w:szCs w:val="20"/>
        </w:rPr>
        <w:t>deliverable</w:t>
      </w:r>
      <w:r w:rsidR="000901C0" w:rsidRPr="00161C26">
        <w:rPr>
          <w:sz w:val="20"/>
          <w:szCs w:val="20"/>
        </w:rPr>
        <w:t xml:space="preserve"> with the county health departments</w:t>
      </w:r>
      <w:r w:rsidRPr="00161C26">
        <w:rPr>
          <w:sz w:val="20"/>
          <w:szCs w:val="20"/>
        </w:rPr>
        <w:t>. The summarized workflow below provides an overview of activity flow and tactical implementation</w:t>
      </w:r>
      <w:r w:rsidR="00A767B6" w:rsidRPr="00161C26">
        <w:rPr>
          <w:sz w:val="20"/>
          <w:szCs w:val="20"/>
        </w:rPr>
        <w:t xml:space="preserve"> for the eight-week project</w:t>
      </w:r>
      <w:r w:rsidRPr="00161C26">
        <w:rPr>
          <w:sz w:val="20"/>
          <w:szCs w:val="20"/>
        </w:rPr>
        <w:t>:</w:t>
      </w:r>
    </w:p>
    <w:p w14:paraId="1A5DAB55" w14:textId="2E5CF2B5" w:rsidR="003E1B9B" w:rsidRPr="00161C26" w:rsidRDefault="003E1B9B" w:rsidP="001D5056">
      <w:pPr>
        <w:jc w:val="left"/>
        <w:rPr>
          <w:sz w:val="20"/>
          <w:szCs w:val="20"/>
        </w:rPr>
      </w:pPr>
    </w:p>
    <w:p w14:paraId="5388FBFE" w14:textId="536D79CA" w:rsidR="00A767B6" w:rsidRPr="00161C26" w:rsidRDefault="003E1B9B" w:rsidP="001D5056">
      <w:pPr>
        <w:jc w:val="left"/>
        <w:rPr>
          <w:sz w:val="20"/>
          <w:szCs w:val="20"/>
        </w:rPr>
      </w:pPr>
      <w:r w:rsidRPr="00161C26">
        <w:rPr>
          <w:b/>
          <w:bCs/>
          <w:sz w:val="20"/>
          <w:szCs w:val="20"/>
        </w:rPr>
        <w:t>Week</w:t>
      </w:r>
      <w:r w:rsidR="00A767B6" w:rsidRPr="00161C26">
        <w:rPr>
          <w:b/>
          <w:bCs/>
          <w:sz w:val="20"/>
          <w:szCs w:val="20"/>
        </w:rPr>
        <w:t>s</w:t>
      </w:r>
      <w:r w:rsidRPr="00161C26">
        <w:rPr>
          <w:b/>
          <w:bCs/>
          <w:sz w:val="20"/>
          <w:szCs w:val="20"/>
        </w:rPr>
        <w:t xml:space="preserve"> 1-2:</w:t>
      </w:r>
      <w:r w:rsidR="00A767B6" w:rsidRPr="00161C26">
        <w:rPr>
          <w:b/>
          <w:bCs/>
          <w:sz w:val="20"/>
          <w:szCs w:val="20"/>
        </w:rPr>
        <w:t xml:space="preserve"> </w:t>
      </w:r>
      <w:r w:rsidR="00161C26">
        <w:rPr>
          <w:b/>
          <w:bCs/>
          <w:sz w:val="20"/>
          <w:szCs w:val="20"/>
        </w:rPr>
        <w:t xml:space="preserve">  </w:t>
      </w:r>
      <w:r w:rsidR="00A767B6" w:rsidRPr="00161C26">
        <w:rPr>
          <w:b/>
          <w:bCs/>
          <w:sz w:val="20"/>
          <w:szCs w:val="20"/>
        </w:rPr>
        <w:t xml:space="preserve"> </w:t>
      </w:r>
      <w:r w:rsidR="00A767B6" w:rsidRPr="00161C26">
        <w:rPr>
          <w:sz w:val="20"/>
          <w:szCs w:val="20"/>
        </w:rPr>
        <w:t>Client objectives identified</w:t>
      </w:r>
    </w:p>
    <w:p w14:paraId="3ED7E17F" w14:textId="78DD9A35" w:rsidR="003E1B9B" w:rsidRPr="00161C26" w:rsidRDefault="00A767B6" w:rsidP="00A767B6">
      <w:pPr>
        <w:ind w:left="1080" w:hanging="1080"/>
        <w:jc w:val="left"/>
        <w:rPr>
          <w:sz w:val="20"/>
          <w:szCs w:val="20"/>
        </w:rPr>
      </w:pPr>
      <w:r w:rsidRPr="00161C26">
        <w:rPr>
          <w:sz w:val="20"/>
          <w:szCs w:val="20"/>
        </w:rPr>
        <w:tab/>
        <w:t xml:space="preserve"> Coordination and completion of three focus groups</w:t>
      </w:r>
      <w:r w:rsidR="00161C26">
        <w:rPr>
          <w:sz w:val="20"/>
          <w:szCs w:val="20"/>
        </w:rPr>
        <w:t xml:space="preserve"> </w:t>
      </w:r>
      <w:r w:rsidRPr="00161C26">
        <w:rPr>
          <w:sz w:val="20"/>
          <w:szCs w:val="20"/>
        </w:rPr>
        <w:t>(research)</w:t>
      </w:r>
    </w:p>
    <w:p w14:paraId="779B88CF" w14:textId="3603E0C0" w:rsidR="00A767B6" w:rsidRPr="00161C26" w:rsidRDefault="00A767B6" w:rsidP="00A767B6">
      <w:pPr>
        <w:ind w:left="1080" w:hanging="1080"/>
        <w:jc w:val="left"/>
        <w:rPr>
          <w:sz w:val="20"/>
          <w:szCs w:val="20"/>
        </w:rPr>
      </w:pPr>
      <w:r w:rsidRPr="00161C26">
        <w:rPr>
          <w:sz w:val="20"/>
          <w:szCs w:val="20"/>
        </w:rPr>
        <w:tab/>
        <w:t xml:space="preserve"> Summary of focus group findings</w:t>
      </w:r>
    </w:p>
    <w:p w14:paraId="4DD1FE9D" w14:textId="79AAE347" w:rsidR="00A767B6" w:rsidRPr="00161C26" w:rsidRDefault="00A767B6" w:rsidP="000901C0">
      <w:pPr>
        <w:ind w:left="1125" w:hanging="1125"/>
        <w:jc w:val="left"/>
        <w:rPr>
          <w:sz w:val="20"/>
          <w:szCs w:val="20"/>
        </w:rPr>
      </w:pPr>
      <w:r w:rsidRPr="00161C26">
        <w:rPr>
          <w:b/>
          <w:bCs/>
          <w:sz w:val="20"/>
          <w:szCs w:val="20"/>
        </w:rPr>
        <w:t>Week 3:</w:t>
      </w:r>
      <w:r w:rsidRPr="00161C26">
        <w:rPr>
          <w:b/>
          <w:bCs/>
          <w:sz w:val="20"/>
          <w:szCs w:val="20"/>
        </w:rPr>
        <w:tab/>
      </w:r>
      <w:r w:rsidRPr="00161C26">
        <w:rPr>
          <w:sz w:val="20"/>
          <w:szCs w:val="20"/>
        </w:rPr>
        <w:t xml:space="preserve">Creative development of </w:t>
      </w:r>
      <w:r w:rsidR="000901C0" w:rsidRPr="00161C26">
        <w:rPr>
          <w:sz w:val="20"/>
          <w:szCs w:val="20"/>
        </w:rPr>
        <w:t xml:space="preserve">all </w:t>
      </w:r>
      <w:r w:rsidRPr="00161C26">
        <w:rPr>
          <w:sz w:val="20"/>
          <w:szCs w:val="20"/>
        </w:rPr>
        <w:t>campaign</w:t>
      </w:r>
      <w:r w:rsidR="000901C0" w:rsidRPr="00161C26">
        <w:rPr>
          <w:sz w:val="20"/>
          <w:szCs w:val="20"/>
        </w:rPr>
        <w:t xml:space="preserve"> elements</w:t>
      </w:r>
      <w:r w:rsidRPr="00161C26">
        <w:rPr>
          <w:sz w:val="20"/>
          <w:szCs w:val="20"/>
        </w:rPr>
        <w:t>, including design and messaging for each targeted group</w:t>
      </w:r>
      <w:r w:rsidR="000901C0" w:rsidRPr="00161C26">
        <w:rPr>
          <w:sz w:val="20"/>
          <w:szCs w:val="20"/>
        </w:rPr>
        <w:t xml:space="preserve"> (print, digital, collateral materials, outdoor)</w:t>
      </w:r>
    </w:p>
    <w:p w14:paraId="430A5471" w14:textId="5996EA59" w:rsidR="00A767B6" w:rsidRPr="00161C26" w:rsidRDefault="00A767B6" w:rsidP="00A767B6">
      <w:pPr>
        <w:ind w:left="1080" w:hanging="1080"/>
        <w:jc w:val="left"/>
        <w:rPr>
          <w:sz w:val="20"/>
          <w:szCs w:val="20"/>
        </w:rPr>
      </w:pPr>
      <w:r w:rsidRPr="00161C26">
        <w:rPr>
          <w:b/>
          <w:bCs/>
          <w:sz w:val="20"/>
          <w:szCs w:val="20"/>
        </w:rPr>
        <w:tab/>
        <w:t xml:space="preserve"> </w:t>
      </w:r>
      <w:r w:rsidR="000901C0" w:rsidRPr="00161C26">
        <w:rPr>
          <w:sz w:val="20"/>
          <w:szCs w:val="20"/>
        </w:rPr>
        <w:t>Copywriting for news releases, social media and landing page</w:t>
      </w:r>
    </w:p>
    <w:p w14:paraId="0DA93B77" w14:textId="470B8C6E" w:rsidR="000901C0" w:rsidRPr="00161C26" w:rsidRDefault="000901C0" w:rsidP="00A767B6">
      <w:pPr>
        <w:ind w:left="1080" w:hanging="1080"/>
        <w:jc w:val="left"/>
        <w:rPr>
          <w:sz w:val="20"/>
          <w:szCs w:val="20"/>
        </w:rPr>
      </w:pPr>
      <w:r w:rsidRPr="00161C26">
        <w:rPr>
          <w:sz w:val="20"/>
          <w:szCs w:val="20"/>
        </w:rPr>
        <w:tab/>
        <w:t xml:space="preserve"> Advertising budget and plan</w:t>
      </w:r>
    </w:p>
    <w:p w14:paraId="7FC79C86" w14:textId="1DBA2C87" w:rsidR="000901C0" w:rsidRPr="00161C26" w:rsidRDefault="000901C0" w:rsidP="00A767B6">
      <w:pPr>
        <w:ind w:left="1080" w:hanging="1080"/>
        <w:jc w:val="left"/>
        <w:rPr>
          <w:b/>
          <w:bCs/>
          <w:sz w:val="20"/>
          <w:szCs w:val="20"/>
        </w:rPr>
      </w:pPr>
      <w:r w:rsidRPr="00161C26">
        <w:rPr>
          <w:b/>
          <w:bCs/>
          <w:sz w:val="20"/>
          <w:szCs w:val="20"/>
        </w:rPr>
        <w:t>Weeks 4-8:</w:t>
      </w:r>
      <w:r w:rsidRPr="00161C26">
        <w:rPr>
          <w:b/>
          <w:bCs/>
          <w:sz w:val="20"/>
          <w:szCs w:val="20"/>
        </w:rPr>
        <w:tab/>
        <w:t xml:space="preserve"> </w:t>
      </w:r>
      <w:r w:rsidRPr="00161C26">
        <w:rPr>
          <w:sz w:val="20"/>
          <w:szCs w:val="20"/>
        </w:rPr>
        <w:t>Execution of all campaign tactics</w:t>
      </w:r>
    </w:p>
    <w:p w14:paraId="0A4AF769" w14:textId="68D39B67" w:rsidR="000901C0" w:rsidRDefault="000901C0" w:rsidP="00A767B6">
      <w:pPr>
        <w:ind w:left="1080" w:hanging="1080"/>
        <w:jc w:val="left"/>
        <w:rPr>
          <w:sz w:val="20"/>
          <w:szCs w:val="20"/>
        </w:rPr>
      </w:pPr>
      <w:r w:rsidRPr="00161C26">
        <w:rPr>
          <w:b/>
          <w:bCs/>
          <w:sz w:val="20"/>
          <w:szCs w:val="20"/>
        </w:rPr>
        <w:t>Week 8:</w:t>
      </w:r>
      <w:r w:rsidRPr="00161C26">
        <w:rPr>
          <w:b/>
          <w:bCs/>
          <w:sz w:val="20"/>
          <w:szCs w:val="20"/>
        </w:rPr>
        <w:tab/>
        <w:t xml:space="preserve"> </w:t>
      </w:r>
      <w:r w:rsidRPr="00161C26">
        <w:rPr>
          <w:sz w:val="20"/>
          <w:szCs w:val="20"/>
        </w:rPr>
        <w:t>Audits, reporting and evaluation</w:t>
      </w:r>
    </w:p>
    <w:p w14:paraId="18FDB6C1" w14:textId="5858D903" w:rsidR="00FB67B2" w:rsidRDefault="00FB67B2" w:rsidP="00A767B6">
      <w:pPr>
        <w:ind w:left="1080" w:hanging="1080"/>
        <w:jc w:val="left"/>
        <w:rPr>
          <w:sz w:val="20"/>
          <w:szCs w:val="20"/>
        </w:rPr>
      </w:pPr>
    </w:p>
    <w:p w14:paraId="42A0BCC7" w14:textId="4EFB94FC" w:rsidR="00FB67B2" w:rsidRDefault="00FB67B2" w:rsidP="00FB67B2">
      <w:pPr>
        <w:jc w:val="left"/>
        <w:rPr>
          <w:i/>
          <w:iCs/>
          <w:sz w:val="20"/>
          <w:szCs w:val="20"/>
        </w:rPr>
      </w:pPr>
      <w:r>
        <w:rPr>
          <w:i/>
          <w:iCs/>
          <w:sz w:val="20"/>
          <w:szCs w:val="20"/>
        </w:rPr>
        <w:t xml:space="preserve">See </w:t>
      </w:r>
      <w:r>
        <w:rPr>
          <w:i/>
          <w:iCs/>
          <w:sz w:val="20"/>
          <w:szCs w:val="20"/>
        </w:rPr>
        <w:t>campaign elements</w:t>
      </w:r>
      <w:r>
        <w:rPr>
          <w:i/>
          <w:iCs/>
          <w:sz w:val="20"/>
          <w:szCs w:val="20"/>
        </w:rPr>
        <w:t xml:space="preserve"> in Supporting Materials</w:t>
      </w:r>
    </w:p>
    <w:p w14:paraId="7F13C1A2" w14:textId="33F860D5" w:rsidR="00615FDE" w:rsidRPr="00161C26" w:rsidRDefault="00615FDE" w:rsidP="00A767B6">
      <w:pPr>
        <w:ind w:left="1080" w:hanging="1080"/>
        <w:jc w:val="left"/>
        <w:rPr>
          <w:sz w:val="20"/>
          <w:szCs w:val="20"/>
        </w:rPr>
      </w:pPr>
      <w:bookmarkStart w:id="0" w:name="_GoBack"/>
      <w:bookmarkEnd w:id="0"/>
    </w:p>
    <w:p w14:paraId="5AA7A451" w14:textId="671B684B" w:rsidR="00615FDE" w:rsidRPr="00161C26" w:rsidRDefault="00615FDE" w:rsidP="00A767B6">
      <w:pPr>
        <w:ind w:left="1080" w:hanging="1080"/>
        <w:jc w:val="left"/>
        <w:rPr>
          <w:b/>
          <w:bCs/>
          <w:sz w:val="20"/>
          <w:szCs w:val="20"/>
        </w:rPr>
      </w:pPr>
      <w:r w:rsidRPr="00161C26">
        <w:rPr>
          <w:b/>
          <w:bCs/>
          <w:sz w:val="20"/>
          <w:szCs w:val="20"/>
        </w:rPr>
        <w:t>Evaluation</w:t>
      </w:r>
    </w:p>
    <w:p w14:paraId="17E153C4" w14:textId="65B7E5FC" w:rsidR="002A7A7A" w:rsidRPr="00161C26" w:rsidRDefault="00557896" w:rsidP="00557896">
      <w:pPr>
        <w:jc w:val="left"/>
        <w:rPr>
          <w:sz w:val="20"/>
          <w:szCs w:val="20"/>
        </w:rPr>
      </w:pPr>
      <w:r w:rsidRPr="00161C26">
        <w:rPr>
          <w:sz w:val="20"/>
          <w:szCs w:val="20"/>
        </w:rPr>
        <w:t>The budget did not allow for pre- and post-quantitative research to determine changes in awareness and public perception. Edge used website, digital</w:t>
      </w:r>
      <w:r w:rsidR="003C6DDF">
        <w:rPr>
          <w:sz w:val="20"/>
          <w:szCs w:val="20"/>
        </w:rPr>
        <w:t>,</w:t>
      </w:r>
      <w:r w:rsidRPr="00161C26">
        <w:rPr>
          <w:sz w:val="20"/>
          <w:szCs w:val="20"/>
        </w:rPr>
        <w:t xml:space="preserve"> social analytics </w:t>
      </w:r>
      <w:r w:rsidR="003C6DDF">
        <w:rPr>
          <w:sz w:val="20"/>
          <w:szCs w:val="20"/>
        </w:rPr>
        <w:t xml:space="preserve">and earned media </w:t>
      </w:r>
      <w:r w:rsidRPr="00161C26">
        <w:rPr>
          <w:sz w:val="20"/>
          <w:szCs w:val="20"/>
        </w:rPr>
        <w:t xml:space="preserve">as metrics for </w:t>
      </w:r>
      <w:r w:rsidR="002A7A7A" w:rsidRPr="00161C26">
        <w:rPr>
          <w:sz w:val="20"/>
          <w:szCs w:val="20"/>
        </w:rPr>
        <w:t>campaign impact.</w:t>
      </w:r>
    </w:p>
    <w:p w14:paraId="3F9196C8" w14:textId="77777777" w:rsidR="002A7A7A" w:rsidRPr="00161C26" w:rsidRDefault="002A7A7A" w:rsidP="00557896">
      <w:pPr>
        <w:jc w:val="left"/>
        <w:rPr>
          <w:sz w:val="20"/>
          <w:szCs w:val="20"/>
        </w:rPr>
      </w:pPr>
    </w:p>
    <w:p w14:paraId="5718EBC7" w14:textId="2502BEE3" w:rsidR="009079EF" w:rsidRPr="00161C26" w:rsidRDefault="002A7A7A" w:rsidP="00557896">
      <w:pPr>
        <w:jc w:val="left"/>
        <w:rPr>
          <w:sz w:val="20"/>
          <w:szCs w:val="20"/>
        </w:rPr>
      </w:pPr>
      <w:r w:rsidRPr="00161C26">
        <w:rPr>
          <w:sz w:val="20"/>
          <w:szCs w:val="20"/>
        </w:rPr>
        <w:t>The landing page</w:t>
      </w:r>
      <w:r w:rsidR="009079EF" w:rsidRPr="00161C26">
        <w:rPr>
          <w:sz w:val="20"/>
          <w:szCs w:val="20"/>
        </w:rPr>
        <w:t xml:space="preserve">, </w:t>
      </w:r>
      <w:hyperlink r:id="rId9" w:history="1">
        <w:r w:rsidR="009079EF" w:rsidRPr="00161C26">
          <w:rPr>
            <w:rStyle w:val="Hyperlink"/>
            <w:sz w:val="20"/>
            <w:szCs w:val="20"/>
          </w:rPr>
          <w:t>www.knowtheweedfacts.com</w:t>
        </w:r>
      </w:hyperlink>
      <w:r w:rsidR="009079EF" w:rsidRPr="00161C26">
        <w:rPr>
          <w:sz w:val="20"/>
          <w:szCs w:val="20"/>
        </w:rPr>
        <w:t xml:space="preserve">, </w:t>
      </w:r>
      <w:r w:rsidRPr="00161C26">
        <w:rPr>
          <w:sz w:val="20"/>
          <w:szCs w:val="20"/>
        </w:rPr>
        <w:t>had 646 unique users with 721 sessions between Aug. 5 and Sept. 15. The majority of users were Ingham County residents who accessed the landing page by mobile (56%), desktop (29%) or Tablet (15%)</w:t>
      </w:r>
      <w:r w:rsidR="009079EF" w:rsidRPr="00161C26">
        <w:rPr>
          <w:sz w:val="20"/>
          <w:szCs w:val="20"/>
        </w:rPr>
        <w:t xml:space="preserve">. A digital advertising buy on the </w:t>
      </w:r>
      <w:proofErr w:type="spellStart"/>
      <w:r w:rsidR="009079EF" w:rsidRPr="00161C26">
        <w:rPr>
          <w:sz w:val="20"/>
          <w:szCs w:val="20"/>
        </w:rPr>
        <w:t>MLive</w:t>
      </w:r>
      <w:proofErr w:type="spellEnd"/>
      <w:r w:rsidR="009079EF" w:rsidRPr="00161C26">
        <w:rPr>
          <w:sz w:val="20"/>
          <w:szCs w:val="20"/>
        </w:rPr>
        <w:t xml:space="preserve"> network generated 65% of users while 29% came to the site directly prompted by calls to action on other campaign materials and advertisements.</w:t>
      </w:r>
    </w:p>
    <w:p w14:paraId="6B3E33A0" w14:textId="77777777" w:rsidR="009079EF" w:rsidRPr="00161C26" w:rsidRDefault="009079EF" w:rsidP="00557896">
      <w:pPr>
        <w:jc w:val="left"/>
        <w:rPr>
          <w:sz w:val="20"/>
          <w:szCs w:val="20"/>
        </w:rPr>
      </w:pPr>
    </w:p>
    <w:p w14:paraId="6EAFA23D" w14:textId="1662FB3B" w:rsidR="009079EF" w:rsidRPr="00161C26" w:rsidRDefault="009079EF" w:rsidP="00557896">
      <w:pPr>
        <w:jc w:val="left"/>
        <w:rPr>
          <w:sz w:val="20"/>
          <w:szCs w:val="20"/>
        </w:rPr>
      </w:pPr>
      <w:r w:rsidRPr="00161C26">
        <w:rPr>
          <w:sz w:val="20"/>
          <w:szCs w:val="20"/>
        </w:rPr>
        <w:t xml:space="preserve">The geotargeted </w:t>
      </w:r>
      <w:proofErr w:type="spellStart"/>
      <w:r w:rsidRPr="00161C26">
        <w:rPr>
          <w:sz w:val="20"/>
          <w:szCs w:val="20"/>
        </w:rPr>
        <w:t>MLive</w:t>
      </w:r>
      <w:proofErr w:type="spellEnd"/>
      <w:r w:rsidRPr="00161C26">
        <w:rPr>
          <w:sz w:val="20"/>
          <w:szCs w:val="20"/>
        </w:rPr>
        <w:t xml:space="preserve"> digital buy served 442,663 impressions and 501 clicks for a</w:t>
      </w:r>
      <w:r w:rsidR="003C6DDF">
        <w:rPr>
          <w:sz w:val="20"/>
          <w:szCs w:val="20"/>
        </w:rPr>
        <w:t>n above-average</w:t>
      </w:r>
      <w:r w:rsidRPr="00161C26">
        <w:rPr>
          <w:sz w:val="20"/>
          <w:szCs w:val="20"/>
        </w:rPr>
        <w:t xml:space="preserve"> CTR of 0.11%.</w:t>
      </w:r>
    </w:p>
    <w:p w14:paraId="28DC0B8A" w14:textId="77777777" w:rsidR="009079EF" w:rsidRPr="00161C26" w:rsidRDefault="009079EF" w:rsidP="00557896">
      <w:pPr>
        <w:jc w:val="left"/>
        <w:rPr>
          <w:sz w:val="20"/>
          <w:szCs w:val="20"/>
        </w:rPr>
      </w:pPr>
    </w:p>
    <w:p w14:paraId="036E9B57" w14:textId="2402ECDE" w:rsidR="00A767B6" w:rsidRPr="00161C26" w:rsidRDefault="009079EF" w:rsidP="00557896">
      <w:pPr>
        <w:jc w:val="left"/>
        <w:rPr>
          <w:sz w:val="20"/>
          <w:szCs w:val="20"/>
        </w:rPr>
      </w:pPr>
      <w:r w:rsidRPr="00161C26">
        <w:rPr>
          <w:sz w:val="20"/>
          <w:szCs w:val="20"/>
        </w:rPr>
        <w:t xml:space="preserve">Although the Lansing DMA is a relatively small media market, the campaign was featured on television, newspaper and radio reports when it launched in August 2019. Since then, both counties have provided positive </w:t>
      </w:r>
      <w:r w:rsidR="001F6C29" w:rsidRPr="00161C26">
        <w:rPr>
          <w:sz w:val="20"/>
          <w:szCs w:val="20"/>
        </w:rPr>
        <w:t>anecdotal feedback and, in December 2019, submitted proposals for additional grant funding to continue and enhance the campaign. Both the Ingham County and Barry-Eaton County health departments have selected Edge as their agency partner for the continuation of this public education campaign.</w:t>
      </w:r>
    </w:p>
    <w:p w14:paraId="1F45D16C" w14:textId="547FEEBB" w:rsidR="001F6C29" w:rsidRPr="00161C26" w:rsidRDefault="001F6C29" w:rsidP="00557896">
      <w:pPr>
        <w:jc w:val="left"/>
        <w:rPr>
          <w:sz w:val="20"/>
          <w:szCs w:val="20"/>
        </w:rPr>
      </w:pPr>
    </w:p>
    <w:p w14:paraId="4AF6553F" w14:textId="5BDDBD21" w:rsidR="001F6C29" w:rsidRPr="00161C26" w:rsidRDefault="001F6C29" w:rsidP="00557896">
      <w:pPr>
        <w:jc w:val="left"/>
        <w:rPr>
          <w:sz w:val="20"/>
          <w:szCs w:val="20"/>
        </w:rPr>
      </w:pPr>
      <w:r w:rsidRPr="00161C26">
        <w:rPr>
          <w:sz w:val="20"/>
          <w:szCs w:val="20"/>
        </w:rPr>
        <w:t xml:space="preserve">Of special note is the positive reception of this campaign by public health officials, marijuana users and area residents. This stands in stark contrast to a recent campaign by the Michigan Department of Community Health and Human Services which recently ran a campaign that maligned marijuana users, portraying them as </w:t>
      </w:r>
      <w:r w:rsidR="00CE28CB">
        <w:rPr>
          <w:sz w:val="20"/>
          <w:szCs w:val="20"/>
        </w:rPr>
        <w:t>“</w:t>
      </w:r>
      <w:r w:rsidRPr="00161C26">
        <w:rPr>
          <w:sz w:val="20"/>
          <w:szCs w:val="20"/>
        </w:rPr>
        <w:t>burnouts</w:t>
      </w:r>
      <w:r w:rsidR="00CE28CB">
        <w:rPr>
          <w:sz w:val="20"/>
          <w:szCs w:val="20"/>
        </w:rPr>
        <w:t xml:space="preserve">” </w:t>
      </w:r>
      <w:r w:rsidRPr="00161C26">
        <w:rPr>
          <w:sz w:val="20"/>
          <w:szCs w:val="20"/>
        </w:rPr>
        <w:t>and further perpetuating the stigma.</w:t>
      </w:r>
    </w:p>
    <w:sectPr w:rsidR="001F6C29" w:rsidRPr="00161C26" w:rsidSect="000D09EA">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1DCA"/>
    <w:multiLevelType w:val="hybridMultilevel"/>
    <w:tmpl w:val="EBC6C24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EA"/>
    <w:rsid w:val="000901C0"/>
    <w:rsid w:val="000D09EA"/>
    <w:rsid w:val="00161C26"/>
    <w:rsid w:val="001D5056"/>
    <w:rsid w:val="001F6C29"/>
    <w:rsid w:val="00220F2A"/>
    <w:rsid w:val="00252259"/>
    <w:rsid w:val="002A7A7A"/>
    <w:rsid w:val="003C6DDF"/>
    <w:rsid w:val="003E1B9B"/>
    <w:rsid w:val="00557896"/>
    <w:rsid w:val="00615FDE"/>
    <w:rsid w:val="00694B2B"/>
    <w:rsid w:val="0083796C"/>
    <w:rsid w:val="00885BA2"/>
    <w:rsid w:val="00887605"/>
    <w:rsid w:val="009079EF"/>
    <w:rsid w:val="00970BEF"/>
    <w:rsid w:val="00A767B6"/>
    <w:rsid w:val="00BB32FE"/>
    <w:rsid w:val="00CE28CB"/>
    <w:rsid w:val="00D305EE"/>
    <w:rsid w:val="00FB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EA55"/>
  <w15:chartTrackingRefBased/>
  <w15:docId w15:val="{B15AAAAE-9DB7-4538-AB56-9ED3AC63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056"/>
    <w:pPr>
      <w:ind w:left="720"/>
      <w:contextualSpacing/>
    </w:pPr>
  </w:style>
  <w:style w:type="paragraph" w:styleId="BalloonText">
    <w:name w:val="Balloon Text"/>
    <w:basedOn w:val="Normal"/>
    <w:link w:val="BalloonTextChar"/>
    <w:uiPriority w:val="99"/>
    <w:semiHidden/>
    <w:unhideWhenUsed/>
    <w:rsid w:val="00887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605"/>
    <w:rPr>
      <w:rFonts w:ascii="Segoe UI" w:hAnsi="Segoe UI" w:cs="Segoe UI"/>
      <w:sz w:val="18"/>
      <w:szCs w:val="18"/>
    </w:rPr>
  </w:style>
  <w:style w:type="character" w:styleId="Hyperlink">
    <w:name w:val="Hyperlink"/>
    <w:basedOn w:val="DefaultParagraphFont"/>
    <w:uiPriority w:val="99"/>
    <w:unhideWhenUsed/>
    <w:rsid w:val="009079EF"/>
    <w:rPr>
      <w:color w:val="0563C1" w:themeColor="hyperlink"/>
      <w:u w:val="single"/>
    </w:rPr>
  </w:style>
  <w:style w:type="character" w:styleId="UnresolvedMention">
    <w:name w:val="Unresolved Mention"/>
    <w:basedOn w:val="DefaultParagraphFont"/>
    <w:uiPriority w:val="99"/>
    <w:semiHidden/>
    <w:unhideWhenUsed/>
    <w:rsid w:val="00907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owtheweedfact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nowtheweedf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Rishar</dc:creator>
  <cp:keywords/>
  <dc:description/>
  <cp:lastModifiedBy>Lorri Rishar</cp:lastModifiedBy>
  <cp:revision>14</cp:revision>
  <dcterms:created xsi:type="dcterms:W3CDTF">2020-02-14T17:07:00Z</dcterms:created>
  <dcterms:modified xsi:type="dcterms:W3CDTF">2020-02-14T20:22:00Z</dcterms:modified>
</cp:coreProperties>
</file>